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Цифровые образовательные ресурсы при обучении детей с ограниченными возможностями на уроках биологии </w:t>
      </w:r>
    </w:p>
    <w:p w:rsidR="00000000" w:rsidDel="00000000" w:rsidP="00000000" w:rsidRDefault="00000000" w:rsidRPr="00000000" w14:paraId="00000002">
      <w:pPr>
        <w:spacing w:before="0" w:lineRule="auto"/>
        <w:jc w:val="right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Мартиросян Анна Сергеевна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Государственное бюджетное профессиональное образовательное учреждение "Самарский торгово-экономический колледж"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anyagriganova@gmail.com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5">
      <w:pPr>
        <w:ind w:firstLine="71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Основы инклюзивного образования были заложены психологом Л. С. Выготским, который настаивал на интеграции обучения детей с дефектами развития со всеми остальными детьми, объясняя это тем, что, чем меньше фиксировать внимание на недостатке ребенка, окружать его замкнутым миром, тем эффективнее осуществляется процесс его адаптации к реальной жизни. [1]</w:t>
      </w:r>
    </w:p>
    <w:p w:rsidR="00000000" w:rsidDel="00000000" w:rsidP="00000000" w:rsidRDefault="00000000" w:rsidRPr="00000000" w14:paraId="00000006">
      <w:pPr>
        <w:ind w:right="0" w:firstLine="71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обучении детей с ограниченными возможностями развития перед педагогом, прежде всего, встает задача коррекции познавательной деятельности, так как чаще всего именно выраженные нарушения той или иной деятельности помешали ребенку обучаться в условиях детского коллектива.</w:t>
      </w:r>
    </w:p>
    <w:p w:rsidR="00000000" w:rsidDel="00000000" w:rsidP="00000000" w:rsidRDefault="00000000" w:rsidRPr="00000000" w14:paraId="00000007">
      <w:pPr>
        <w:ind w:right="0" w:firstLine="71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Сервис Coreapp может быть полезен при работе с детьми с ограниченными возможностями здоровья для организации дистанционного обучения. Некоторые возможности платформы:</w:t>
      </w:r>
    </w:p>
    <w:p w:rsidR="00000000" w:rsidDel="00000000" w:rsidP="00000000" w:rsidRDefault="00000000" w:rsidRPr="00000000" w14:paraId="00000008">
      <w:pPr>
        <w:ind w:right="0" w:firstLine="71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Конструирование интерактивных уроков. Педагог может составить занятие от целеполагания до этапа рефлексии. </w:t>
      </w:r>
    </w:p>
    <w:p w:rsidR="00000000" w:rsidDel="00000000" w:rsidP="00000000" w:rsidRDefault="00000000" w:rsidRPr="00000000" w14:paraId="00000009">
      <w:pPr>
        <w:ind w:right="0" w:firstLine="71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Размещение разнообразных материалов. На платформе можно разместить видеофайл, презентацию, документ, аудиозапись, картинки. </w:t>
      </w:r>
    </w:p>
    <w:p w:rsidR="00000000" w:rsidDel="00000000" w:rsidP="00000000" w:rsidRDefault="00000000" w:rsidRPr="00000000" w14:paraId="0000000A">
      <w:pPr>
        <w:ind w:right="0" w:firstLine="71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Создание заданий разных типов. Например, упражнение с открытым ответом, задание на заполнение пробелов, тест, опрос и тд. </w:t>
      </w:r>
    </w:p>
    <w:p w:rsidR="00000000" w:rsidDel="00000000" w:rsidP="00000000" w:rsidRDefault="00000000" w:rsidRPr="00000000" w14:paraId="0000000B">
      <w:pPr>
        <w:ind w:right="0" w:firstLine="71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Автоматическая проверка заданий. Достаточно указать правильные варианты ответов, и сервис сам проверит ответы учеников, а результаты учитель увидит в разделе «Прохождения». </w:t>
      </w:r>
    </w:p>
    <w:p w:rsidR="00000000" w:rsidDel="00000000" w:rsidP="00000000" w:rsidRDefault="00000000" w:rsidRPr="00000000" w14:paraId="0000000C">
      <w:pPr>
        <w:ind w:right="0" w:firstLine="71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Кроме того, с помощью Coreapp можно организовывать олимпиады и конкурсы для вовлечения учеников в образовательный процесс, назначать и проверять домашние задания, давать обратную связь с помощью платформ. </w:t>
      </w:r>
    </w:p>
    <w:p w:rsidR="00000000" w:rsidDel="00000000" w:rsidP="00000000" w:rsidRDefault="00000000" w:rsidRPr="00000000" w14:paraId="0000000D">
      <w:pPr>
        <w:ind w:right="0" w:firstLine="71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Тема генетика довольна сложная в изучении для всех детей, чтобы облегчить ее изучение можно использовать сервиз Coreapp.ai. Например, в тему “Закономерности генетики” входят следующие подтемы: Первый закон Г. Менделя;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Второй закон Г. Менделя; Третий закон Г. Менделя; Взаимодействие генов Итоговые задания.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ind w:left="0" w:firstLine="71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подтемах используются: задания вопросы, упражнения разного уровня, инфографики и рабочие листы. Рассмотрим тему “Второй закон Г. Менделя” в работе на сайте и с рабочим листом (табл. 1, рис. 1)</w:t>
      </w:r>
    </w:p>
    <w:p w:rsidR="00000000" w:rsidDel="00000000" w:rsidP="00000000" w:rsidRDefault="00000000" w:rsidRPr="00000000" w14:paraId="0000000F">
      <w:pPr>
        <w:ind w:left="0" w:firstLine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Таблица 1.</w:t>
      </w:r>
    </w:p>
    <w:p w:rsidR="00000000" w:rsidDel="00000000" w:rsidP="00000000" w:rsidRDefault="00000000" w:rsidRPr="00000000" w14:paraId="00000010">
      <w:pPr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Второй закон Г. Менделя</w:t>
      </w:r>
    </w:p>
    <w:tbl>
      <w:tblPr>
        <w:tblStyle w:val="Table1"/>
        <w:tblW w:w="9028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"/>
        <w:gridCol w:w="4514"/>
        <w:tblGridChange w:id="0">
          <w:tblGrid>
            <w:gridCol w:w="4514"/>
            <w:gridCol w:w="4514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Структура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Вид сайта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539780" cy="3442069"/>
                  <wp:effectExtent b="9525" l="9525" r="9525" t="9525"/>
                  <wp:docPr id="1037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80" cy="3442069"/>
                          </a:xfrm>
                          <a:prstGeom prst="rect"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Теоретический материал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538138" cy="3512075"/>
                  <wp:effectExtent b="9525" l="9525" r="9525" t="9525"/>
                  <wp:docPr id="1039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138" cy="3512075"/>
                          </a:xfrm>
                          <a:prstGeom prst="rect"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450616" cy="3081588"/>
                  <wp:effectExtent b="9525" l="9525" r="9525" t="9525"/>
                  <wp:docPr id="1038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616" cy="3081588"/>
                          </a:xfrm>
                          <a:prstGeom prst="rect"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672420" cy="3076390"/>
                  <wp:effectExtent b="9525" l="9525" r="9525" t="9525"/>
                  <wp:docPr id="1041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420" cy="3076390"/>
                          </a:xfrm>
                          <a:prstGeom prst="rect"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Рисунок 1.</w:t>
      </w:r>
    </w:p>
    <w:p w:rsidR="00000000" w:rsidDel="00000000" w:rsidP="00000000" w:rsidRDefault="00000000" w:rsidRPr="00000000" w14:paraId="00000019">
      <w:pPr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Рабочий лист по теме “Второй закон Г. Менделя”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295938" cy="4358084"/>
            <wp:effectExtent b="9525" l="9525" r="9525" t="9525"/>
            <wp:docPr id="104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5938" cy="4358084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71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Сервис можно полностью внедрить для проверки итоговых знаний по теме, на контрольных и самостоятельных работах. (табл. 2) </w:t>
      </w:r>
    </w:p>
    <w:p w:rsidR="00000000" w:rsidDel="00000000" w:rsidP="00000000" w:rsidRDefault="00000000" w:rsidRPr="00000000" w14:paraId="0000001B">
      <w:pPr>
        <w:ind w:left="0" w:firstLine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Таблица 2. </w:t>
      </w:r>
    </w:p>
    <w:p w:rsidR="00000000" w:rsidDel="00000000" w:rsidP="00000000" w:rsidRDefault="00000000" w:rsidRPr="00000000" w14:paraId="0000001C">
      <w:pPr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Итоговые задания</w:t>
      </w:r>
    </w:p>
    <w:tbl>
      <w:tblPr>
        <w:tblStyle w:val="Table2"/>
        <w:tblW w:w="9028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"/>
        <w:gridCol w:w="4514"/>
        <w:tblGridChange w:id="0">
          <w:tblGrid>
            <w:gridCol w:w="4514"/>
            <w:gridCol w:w="4514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Структура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Вид сайта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279066" cy="2569763"/>
                  <wp:effectExtent b="9525" l="9525" r="9525" t="9525"/>
                  <wp:docPr id="104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66" cy="2569763"/>
                          </a:xfrm>
                          <a:prstGeom prst="rect"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Вопросы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1981240" cy="2956136"/>
                  <wp:effectExtent b="9525" l="9525" r="9525" t="9525"/>
                  <wp:docPr id="1042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40" cy="2956136"/>
                          </a:xfrm>
                          <a:prstGeom prst="rect"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Тест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474688" cy="3570744"/>
                  <wp:effectExtent b="9525" l="9525" r="9525" t="9525"/>
                  <wp:docPr id="1045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688" cy="3570744"/>
                          </a:xfrm>
                          <a:prstGeom prst="rect"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Задача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663060" cy="3464335"/>
                  <wp:effectExtent b="9525" l="9525" r="9525" t="9525"/>
                  <wp:docPr id="104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060" cy="3464335"/>
                          </a:xfrm>
                          <a:prstGeom prst="rect"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Работа с текстом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466205" cy="4105589"/>
                  <wp:effectExtent b="9525" l="9525" r="9525" t="9525"/>
                  <wp:docPr id="1047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205" cy="4105589"/>
                          </a:xfrm>
                          <a:prstGeom prst="rect"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Результат 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572823" cy="3534899"/>
                  <wp:effectExtent b="9525" l="9525" r="9525" t="9525"/>
                  <wp:docPr id="104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823" cy="3534899"/>
                          </a:xfrm>
                          <a:prstGeom prst="rect"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A">
      <w:pPr>
        <w:ind w:firstLine="71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проведении занятий с использованием нестандартных заданий у обучающихся возникает позитивная динамика, повышение уровня коммуникативных способностей, интерес к предмету, положительный эмоциональный настрой на урок. [2]</w:t>
      </w:r>
    </w:p>
    <w:p w:rsidR="00000000" w:rsidDel="00000000" w:rsidP="00000000" w:rsidRDefault="00000000" w:rsidRPr="00000000" w14:paraId="0000002B">
      <w:pPr>
        <w:ind w:firstLine="71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Цифровые образовательные технологии играют ключевую роль в обучении биологии для учащихся с ограниченными возможностями здоровья (ОВЗ), обеспечивая индивидуальный подход, доступность информации, интерактивность и наглядность, развитие практических навыков, социальную интеграцию и поддержку дистанционного обучения. Они позволяют адаптировать учебный материал под конкретные нужды каждого ученика, предоставляя разнообразные форматы подачи информации, включая аудио, видео, интерактивные элементы и виртуальные лаборатории. Такие технологии способствуют лучшему пониманию сложных концепций, развивают практические навыки работы с информацией и поддерживают оперативную оценку прогресса. Кроме того, они облегчают социальную интеграцию и обеспечивают доступ к образованию вне зависимости от физических ограничений. [3]</w:t>
      </w:r>
    </w:p>
    <w:p w:rsidR="00000000" w:rsidDel="00000000" w:rsidP="00000000" w:rsidRDefault="00000000" w:rsidRPr="00000000" w14:paraId="0000002C">
      <w:pPr>
        <w:ind w:firstLine="71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Литература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Шарыпова Надежда Владимировна, Варламова Лариса Андреевна, Коурова Светлана Ивановна, Павлова Наталья Владимировна Особенности обучения детей с ограниченными возможностями здоровья школьной биологии и географии в условиях реализации ФГОС // Гуманитарные науки. 2018. №2 (42). URL: https://cyberleninka.ru/article/n/osobennosti-obucheniya-detey-s-ogranichennymi-vozmozhnostyami-zdorovya-shkolnoy-biologii-i-geografii-v-usloviyah-realizatsii-fgos (дата обращения: 27.11.2024).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Инклюзивное образование. Настольная книга педагога, работающего с детьми с ОВЗ: методическое пособие. - М.: Гуманитарный изд. центр Владос, 2011. - 167 с.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Мануйлова В.В., Гусейнова А.А. Проблемы и трудности при реализации инклюзивного образования в системе среднего профессионального образования в субъектах Российской Федерации// ГАОУ МГПУ 2018. № 2 (76). С. 18-23;</w:t>
      </w:r>
      <w:r w:rsidDel="00000000" w:rsidR="00000000" w:rsidRPr="00000000">
        <w:rPr>
          <w:rtl w:val="0"/>
        </w:rPr>
      </w:r>
    </w:p>
    <w:sectPr>
      <w:headerReference r:id="rId19" w:type="default"/>
      <w:footerReference r:id="rId2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1"/>
        <w:szCs w:val="21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style4097" w:customStyle="1">
    <w:name w:val="normal"/>
    <w:next w:val="style4097"/>
    <w:pPr/>
  </w:style>
  <w:style w:type="table" w:styleId="style4098" w:customStyle="1">
    <w:name w:val="Table Normal"/>
    <w:next w:val="style4098"/>
    <w:pPr/>
    <w:tcPr>
      <w:tcBorders/>
    </w:tcPr>
  </w:style>
  <w:style w:type="paragraph" w:styleId="style1">
    <w:name w:val="heading 1"/>
    <w:basedOn w:val="style4097"/>
    <w:next w:val="style4097"/>
    <w:pPr>
      <w:keepNext w:val="1"/>
      <w:keepLines w:val="1"/>
      <w:pageBreakBefore w:val="0"/>
      <w:spacing w:after="120" w:before="400"/>
    </w:pPr>
    <w:rPr>
      <w:sz w:val="40"/>
      <w:szCs w:val="40"/>
    </w:rPr>
  </w:style>
  <w:style w:type="paragraph" w:styleId="style2">
    <w:name w:val="heading 2"/>
    <w:basedOn w:val="style4097"/>
    <w:next w:val="style4097"/>
    <w:pPr>
      <w:keepNext w:val="1"/>
      <w:keepLines w:val="1"/>
      <w:pageBreakBefore w:val="0"/>
      <w:spacing w:after="120" w:before="360"/>
    </w:pPr>
    <w:rPr>
      <w:b w:val="0"/>
      <w:sz w:val="32"/>
      <w:szCs w:val="32"/>
    </w:rPr>
  </w:style>
  <w:style w:type="paragraph" w:styleId="style3">
    <w:name w:val="heading 3"/>
    <w:basedOn w:val="style4097"/>
    <w:next w:val="style4097"/>
    <w:pPr>
      <w:keepNext w:val="1"/>
      <w:keepLines w:val="1"/>
      <w:pageBreakBefore w:val="0"/>
      <w:spacing w:after="80" w:before="320"/>
    </w:pPr>
    <w:rPr>
      <w:b w:val="0"/>
      <w:color w:val="434343"/>
      <w:sz w:val="28"/>
      <w:szCs w:val="28"/>
    </w:rPr>
  </w:style>
  <w:style w:type="paragraph" w:styleId="style4">
    <w:name w:val="heading 4"/>
    <w:basedOn w:val="style4097"/>
    <w:next w:val="style4097"/>
    <w:pPr>
      <w:keepNext w:val="1"/>
      <w:keepLines w:val="1"/>
      <w:pageBreakBefore w:val="0"/>
      <w:spacing w:after="80" w:before="280"/>
    </w:pPr>
    <w:rPr>
      <w:color w:val="666666"/>
      <w:sz w:val="24"/>
      <w:szCs w:val="24"/>
    </w:rPr>
  </w:style>
  <w:style w:type="paragraph" w:styleId="style5">
    <w:name w:val="heading 5"/>
    <w:basedOn w:val="style4097"/>
    <w:next w:val="style4097"/>
    <w:pPr>
      <w:keepNext w:val="1"/>
      <w:keepLines w:val="1"/>
      <w:pageBreakBefore w:val="0"/>
      <w:spacing w:after="80" w:before="240"/>
    </w:pPr>
    <w:rPr>
      <w:color w:val="666666"/>
      <w:sz w:val="22"/>
      <w:szCs w:val="22"/>
    </w:rPr>
  </w:style>
  <w:style w:type="paragraph" w:styleId="style6">
    <w:name w:val="heading 6"/>
    <w:basedOn w:val="style4097"/>
    <w:next w:val="style4097"/>
    <w:pPr>
      <w:keepNext w:val="1"/>
      <w:keepLines w:val="1"/>
      <w:pageBreakBefore w:val="0"/>
      <w:spacing w:after="80" w:before="240"/>
    </w:pPr>
    <w:rPr>
      <w:i w:val="1"/>
      <w:color w:val="666666"/>
      <w:sz w:val="22"/>
      <w:szCs w:val="22"/>
    </w:rPr>
  </w:style>
  <w:style w:type="paragraph" w:styleId="style62">
    <w:name w:val="Title"/>
    <w:basedOn w:val="style4097"/>
    <w:next w:val="style4097"/>
    <w:pPr>
      <w:keepNext w:val="1"/>
      <w:keepLines w:val="1"/>
      <w:pageBreakBefore w:val="0"/>
      <w:spacing w:after="60" w:before="0"/>
    </w:pPr>
    <w:rPr>
      <w:sz w:val="52"/>
      <w:szCs w:val="52"/>
    </w:rPr>
  </w:style>
  <w:style w:type="paragraph" w:styleId="style74">
    <w:name w:val="Subtitle"/>
    <w:basedOn w:val="style4097"/>
    <w:next w:val="style4097"/>
    <w:pPr>
      <w:keepNext w:val="1"/>
      <w:keepLines w:val="1"/>
      <w:pageBreakBefore w:val="0"/>
      <w:spacing w:after="320" w:before="0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style4099" w:customStyle="1">
    <w:basedOn w:val="style4098"/>
    <w:next w:val="style4099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tcBorders/>
    </w:tcPr>
  </w:style>
  <w:style w:type="table" w:styleId="style4100" w:customStyle="1">
    <w:basedOn w:val="style4098"/>
    <w:next w:val="style4100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tcBorders/>
    </w:tcPr>
  </w:style>
  <w:style w:type="paragraph" w:styleId="style0" w:default="1">
    <w:name w:val="Normal"/>
    <w:pPr>
      <w:jc w:val="both"/>
    </w:pPr>
    <w:rPr>
      <w:sz w:val="2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9.jpg"/><Relationship Id="rId10" Type="http://schemas.openxmlformats.org/officeDocument/2006/relationships/image" Target="media/image4.jpg"/><Relationship Id="rId13" Type="http://schemas.openxmlformats.org/officeDocument/2006/relationships/image" Target="media/image1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10.jpg"/><Relationship Id="rId14" Type="http://schemas.openxmlformats.org/officeDocument/2006/relationships/image" Target="media/image6.jpg"/><Relationship Id="rId17" Type="http://schemas.openxmlformats.org/officeDocument/2006/relationships/image" Target="media/image11.jpg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customXml" Target="../customXML/item1.xml"/><Relationship Id="rId18" Type="http://schemas.openxmlformats.org/officeDocument/2006/relationships/image" Target="media/image2.jpg"/><Relationship Id="rId7" Type="http://schemas.openxmlformats.org/officeDocument/2006/relationships/hyperlink" Target="mailto:anyagriganova@gmail.com" TargetMode="External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5H5AC1u0ZB0osexXOpjixzmHvQ==">CgMxLjA4AHIhMVg0SmlVaHMyelVvNHg1YWlUbjlyT1N1Nm56QUNKb1Zl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2024-11-28T09:30:28Z</dcterms:created>
  <dc:creator>WPS Office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c289f2c2daa14446847118ae48b68570</vt:lpwstr>
  </property>
</Properties>
</file>