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spacing w:lineRule="auto" w:line="360"/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Применение интерактивных игр и упражнение в работе педагога-психолога с детьми ОВЗ.</w:t>
      </w:r>
      <w:r>
        <w:rPr>
          <w:rFonts w:ascii="Times New Roman" w:hAnsi="Times New Roman" w:cs="Times New Roman" w:eastAsia="Times New Roman"/>
          <w:b/>
          <w:sz w:val="28"/>
        </w:rPr>
      </w:r>
    </w:p>
    <w:p>
      <w:pPr>
        <w:jc w:val="right"/>
        <w:rPr>
          <w:rFonts w:ascii="Times New Roman" w:hAnsi="Times New Roman" w:cs="Times New Roman"/>
          <w:b w:val="false"/>
          <w:sz w:val="24"/>
        </w:rPr>
      </w:pPr>
      <w:r>
        <w:rPr>
          <w:rFonts w:ascii="Times New Roman" w:hAnsi="Times New Roman" w:cs="Times New Roman"/>
          <w:b w:val="false"/>
          <w:i w:val="false"/>
          <w:sz w:val="24"/>
          <w:szCs w:val="24"/>
        </w:rPr>
        <w:t xml:space="preserve">Егорова Елена Александровна,</w:t>
      </w:r>
      <w:r>
        <w:rPr>
          <w:rFonts w:ascii="Times New Roman" w:hAnsi="Times New Roman" w:cs="Times New Roman"/>
          <w:b w:val="false"/>
          <w:i w:val="false"/>
          <w:sz w:val="24"/>
          <w:szCs w:val="24"/>
        </w:rPr>
        <w:t xml:space="preserve">п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едагог – психолог, </w:t>
      </w:r>
      <w:r>
        <w:rPr>
          <w:rFonts w:ascii="Times New Roman" w:hAnsi="Times New Roman" w:cs="Times New Roman"/>
          <w:b w:val="false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СП «Детский сад «Белочка»» </w:t>
      </w:r>
      <w:r>
        <w:rPr>
          <w:rFonts w:ascii="Times New Roman" w:hAnsi="Times New Roman" w:cs="Times New Roman"/>
          <w:b w:val="false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b w:val="false"/>
          <w:sz w:val="24"/>
          <w:highlight w:val="none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ГБОУ СОШ с. Курумоч,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м. р. Волжский.</w:t>
      </w:r>
      <w:r>
        <w:rPr>
          <w:rFonts w:ascii="Times New Roman" w:hAnsi="Times New Roman" w:cs="Times New Roman"/>
          <w:b w:val="false"/>
          <w:i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b w:val="false"/>
          <w:i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  <w:highlight w:val="none"/>
          <w:lang w:val="en-US"/>
        </w:rPr>
        <w:t xml:space="preserve">ld0104@rambler.ru</w:t>
      </w:r>
      <w:r>
        <w:rPr>
          <w:rFonts w:ascii="Times New Roman" w:hAnsi="Times New Roman" w:cs="Times New Roman"/>
          <w:b w:val="false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333333"/>
          <w:sz w:val="28"/>
          <w:highlight w:val="white"/>
        </w:rPr>
        <w:t xml:space="preserve">Мы живем в веке информации. Компьютеризация проникла практически во все сферы жизни и деятельности современного человека. </w:t>
      </w:r>
      <w:r>
        <w:rPr>
          <w:rFonts w:ascii="Times New Roman" w:hAnsi="Times New Roman" w:cs="Times New Roman" w:eastAsia="Times New Roman"/>
          <w:color w:val="333333"/>
          <w:sz w:val="28"/>
          <w:highlight w:val="white"/>
        </w:rPr>
        <w:t xml:space="preserve">Одним из ключевых требований ФГОС является требование к развивающей предметно-пространственной среде ДОО, компонентом которой является информационные средства воспитания и обучения</w:t>
      </w:r>
      <w:r>
        <w:rPr>
          <w:rFonts w:ascii="Times New Roman" w:hAnsi="Times New Roman" w:cs="Times New Roman" w:eastAsia="Times New Roman"/>
          <w:color w:val="333333"/>
          <w:sz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ети с ограниченными возможностями здоровья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– это определенная группа, требующая особого внимания и подхода к обучению и воспитанию.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Поэтому я (педагог-психолог)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 решила проводить интегрированные занятия с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применением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интерактивных игр и упражнений.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На своих занятиях я использую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 компьютер в качестве обучающего средства. Компьютер значительно расширяет возможности предъявления учебной информации, позволяет усилить мотиваци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ю ребенка. Применение мультимедиа технологий позволяет моделировать различные ситуации из окружающей социальной среды. Формы использования компьютера в качестве обучающего средства различны. Это работа со всей группой детей, подгруппой и индивидуально.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Использование интерактивных игр и упражнений в работе с детьми с ОВЗ,помогает решать следующие задачи: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общей, мелкой моторики рук;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математических представлений;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познавательных процессов (восприятие, память, внимание, мышление, воображение);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зрительно-пространственных отношений;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Сенсорное развитие (цвет, форма, величина);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связной речи – пересказ (составление) текста с опорой на серию сюжетных картинок;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Обучение грамоте – формирование навыков фонематического анализа;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лексико-грамматических категорий – словообразование, словоизменение.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Формирование основы информационной культуры личности;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en-US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 настоящее время выбор готовых  компьютерных развивающих, обучающих игр для дошкольников достаточно широк, 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такие как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«Баба Яга учится читать»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«Снежная королева», «Русалочка», 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«Интерактивная Азбука» «Карта профессий» и т.п. Также в своей работ я использую игры и упражнения , которые сама создаю с помощью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  <w:u w:val="single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  <w:u w:val="single"/>
        </w:rPr>
        <w:t xml:space="preserve">MicrosoftPowerPoint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 в виде мультимедийных презентаций. Для закрепления лексических тем, разработаны такие как «Дикие животные», «Домашние птицы», «Фрукты», «Овощи», «Осень», «Зима».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Для развития логического мышления и воображения игра «4 лишний», где дети классифицируют,соединяют и группируют, перемещая рукой объекты, подбирают предметы по форме и цвету.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Для развития эмоциональной сферы игра «Путешествие в страну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настроения».Для развития речи «В гостях у Звуковичка». Такие игры как «Продолжи ряд...», «Чего не хватает?», «Помоги Незнайке», помогают развивать познавательные процессы ребенка.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Детям ОВЗ нравятся подобные игры, они с удовольствием выполняют задания, такие игры и упражнения облегчают восприятие материала.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Таким образом, 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можно сделать следующие выводы, что применяя в своей работе интерактивные игры и упражнения, 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активизируется внимание ребенка с ОВЗ благодаря возможности демонстрации явлений и объектов в динамике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, п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олученные знания остаются в памяти на более долгий срок и легче восстанавливаются для применения на практике после краткого повторения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ребенок испытывает ощущение успеха от каждого выполненного им задания, видит каждый раз оценку своего труда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, у детей повышается познавательная активность.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  <w:lang w:val="ru-RU"/>
        </w:rPr>
        <w:t xml:space="preserve">Литература: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Акименко М.В. Компьютер для малышей. - М.: Майор, 2005.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2.Бойкова И. Г., Золотарюк О. М., Климова М. В. Использование инновационных методик и технологий в образовательной системе дошкольников // Сборник научных трудов двенадцатой Международной научно-практической конференции «Формирование новой информационной сре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ды образовательного учреждения с использованием технологий "1С"». 31 января — 1 февраля 2012 г.: Новые информационные технологии в образовании; под общ. ред. проф. Д. В. Чистова. Ч. 2. –М.: 1С-Паблишинг, 2012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Гаркуша Ю. Ф., Черлина Н. А., Манина Е. В. Новые информационные технологии в логопедической работе. // Научно-методический журнал “Логопед”, - 2004.- № 2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13"/>
        <w:jc w:val="both"/>
        <w:spacing w:lineRule="auto" w:line="3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Соломахина Т. Н., Михалева И. М., Шевченко Е. В. Использование коммуникационных технологий в коррекционно-развивающей работе с детьми с ОВЗ // Молодой ученый. - 2017. - №16. - С. 496-498.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rPr>
          <w:rFonts w:ascii="Arial" w:hAnsi="Arial" w:cs="Arial" w:eastAsia="Arial"/>
          <w:color w:val="000000"/>
          <w:sz w:val="23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1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1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7" w:hanging="360"/>
      </w:pPr>
      <w:rPr>
        <w:rFonts w:ascii="Symbol" w:hAnsi="Symbol" w:cs="Symbol" w:eastAsia="Symbol" w:hint="default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2147" w:hanging="360"/>
      </w:pPr>
      <w:rPr>
        <w:rFonts w:ascii="Symbol" w:hAnsi="Symbol" w:cs="Symbol" w:eastAsia="Symbol" w:hint="default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867" w:hanging="360"/>
      </w:pPr>
      <w:rPr>
        <w:rFonts w:ascii="Symbol" w:hAnsi="Symbol" w:cs="Symbol" w:eastAsia="Symbol" w:hint="default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587" w:hanging="360"/>
      </w:pPr>
      <w:rPr>
        <w:rFonts w:ascii="Symbol" w:hAnsi="Symbol" w:cs="Symbol" w:eastAsia="Symbol" w:hint="default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4307" w:hanging="360"/>
      </w:pPr>
      <w:rPr>
        <w:rFonts w:ascii="Symbol" w:hAnsi="Symbol" w:cs="Symbol" w:eastAsia="Symbol" w:hint="default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5027" w:hanging="360"/>
      </w:pPr>
      <w:rPr>
        <w:rFonts w:ascii="Symbol" w:hAnsi="Symbol" w:cs="Symbol" w:eastAsia="Symbol" w:hint="default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747" w:hanging="360"/>
      </w:pPr>
      <w:rPr>
        <w:rFonts w:ascii="Symbol" w:hAnsi="Symbol" w:cs="Symbol" w:eastAsia="Symbol" w:hint="default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6467" w:hanging="360"/>
      </w:pPr>
      <w:rPr>
        <w:rFonts w:ascii="Symbol" w:hAnsi="Symbol" w:cs="Symbol" w:eastAsia="Symbol" w:hint="default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7187" w:hanging="360"/>
      </w:pPr>
      <w:rPr>
        <w:rFonts w:ascii="Symbol" w:hAnsi="Symbol" w:cs="Symbol" w:eastAsia="Symbol" w:hint="default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95" w:hanging="360"/>
      </w:pPr>
      <w:rPr>
        <w:rFonts w:ascii="Times New Roman" w:hAnsi="Times New Roman" w:cs="Times New Roman" w:eastAsia="Times New Roman"/>
        <w:color w:val="000000"/>
        <w:sz w:val="28"/>
        <w:highlight w:val="white"/>
      </w:rPr>
    </w:lvl>
    <w:lvl w:ilvl="1">
      <w:start w:val="1"/>
      <w:numFmt w:val="decimal"/>
      <w:isLgl w:val="false"/>
      <w:suff w:val="tab"/>
      <w:lvlText w:val="%2."/>
      <w:lvlJc w:val="right"/>
      <w:pPr>
        <w:ind w:left="2215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655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375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815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535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25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cs="Times New Roman" w:eastAsia="Times New Roman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2022-11-23T09:05:04Z</dcterms:modified>
</cp:coreProperties>
</file>